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0EDF77" wp14:editId="029FA3C3">
            <wp:simplePos x="0" y="0"/>
            <wp:positionH relativeFrom="column">
              <wp:posOffset>4644390</wp:posOffset>
            </wp:positionH>
            <wp:positionV relativeFrom="paragraph">
              <wp:posOffset>-501015</wp:posOffset>
            </wp:positionV>
            <wp:extent cx="1209675" cy="1037590"/>
            <wp:effectExtent l="0" t="0" r="9525" b="0"/>
            <wp:wrapSquare wrapText="bothSides"/>
            <wp:docPr id="6" name="Picture 2" descr="http://anyamashka.ru/_ph/33/2/315288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://anyamashka.ru/_ph/33/2/315288020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878">
        <w:rPr>
          <w:rFonts w:ascii="Times New Roman" w:eastAsia="Times New Roman" w:hAnsi="Times New Roman" w:cs="Times New Roman"/>
          <w:b/>
          <w:bCs/>
          <w:color w:val="8E44AD"/>
          <w:sz w:val="30"/>
          <w:szCs w:val="30"/>
          <w:lang w:eastAsia="ru-RU"/>
        </w:rPr>
        <w:t>Сведения о средствах обучения и воспитания</w:t>
      </w:r>
      <w:r w:rsidRPr="002B2878">
        <w:rPr>
          <w:noProof/>
          <w:lang w:eastAsia="ru-RU"/>
        </w:rPr>
        <w:t xml:space="preserve"> </w:t>
      </w:r>
    </w:p>
    <w:p w:rsidR="002B2878" w:rsidRPr="002B2878" w:rsidRDefault="002B2878" w:rsidP="002B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имеются следующие средства обучения</w:t>
      </w:r>
      <w:proofErr w:type="gramStart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приборы (компас, барометр, снегомер,</w:t>
      </w:r>
      <w:proofErr w:type="gram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флюгер, микроскопы, колбы, и т.д.);</w:t>
      </w:r>
    </w:p>
    <w:p w:rsidR="002B2878" w:rsidRPr="002B2878" w:rsidRDefault="002B2878" w:rsidP="002B2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2B2878" w:rsidRPr="002B2878" w:rsidRDefault="002B2878" w:rsidP="002B2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2B2878" w:rsidRPr="002B2878" w:rsidRDefault="002B2878" w:rsidP="002B2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2B2878" w:rsidRPr="002B2878" w:rsidRDefault="002B2878" w:rsidP="002B2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2B2878" w:rsidRPr="002B2878" w:rsidRDefault="002B2878" w:rsidP="002B2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2B2878" w:rsidRPr="002B2878" w:rsidRDefault="002B2878" w:rsidP="002B2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книг, картин, развивающие игры, схемы для составления рассказов, ширма, разнообразные виды  кукольного театра, аудио- и видеоаппаратура, телевизор, энциклопедии и пр.</w:t>
      </w:r>
      <w:proofErr w:type="gramEnd"/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познавательной деятельности</w:t>
      </w:r>
      <w:r w:rsidR="0069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оборудованы </w:t>
      </w: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</w:t>
      </w:r>
      <w:proofErr w:type="gramStart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которых </w:t>
      </w:r>
      <w:proofErr w:type="spellStart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proofErr w:type="gram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ентры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</w:t>
      </w:r>
      <w:r w:rsidR="0069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прыжков, баскетбольное кольцо.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2B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активной физической деятельности воспитанников.</w:t>
      </w:r>
    </w:p>
    <w:p w:rsidR="002B2878" w:rsidRPr="002B2878" w:rsidRDefault="002B2878" w:rsidP="002B28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bookmarkEnd w:id="0"/>
    <w:p w:rsidR="006B623A" w:rsidRDefault="006B623A"/>
    <w:sectPr w:rsidR="006B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13C28"/>
    <w:multiLevelType w:val="multilevel"/>
    <w:tmpl w:val="196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C4B4A"/>
    <w:multiLevelType w:val="multilevel"/>
    <w:tmpl w:val="1E4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E6"/>
    <w:rsid w:val="002B2878"/>
    <w:rsid w:val="00523BE6"/>
    <w:rsid w:val="006924D7"/>
    <w:rsid w:val="006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2020-01-30T03:22:00Z</dcterms:created>
  <dcterms:modified xsi:type="dcterms:W3CDTF">2020-01-30T03:45:00Z</dcterms:modified>
</cp:coreProperties>
</file>