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5" w:rsidRPr="001626C0" w:rsidRDefault="008836F5" w:rsidP="008836F5">
      <w:pPr>
        <w:spacing w:line="360" w:lineRule="auto"/>
        <w:ind w:firstLine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bookmarkStart w:id="0" w:name="_GoBack"/>
      <w:r w:rsidRPr="001626C0">
        <w:rPr>
          <w:rFonts w:ascii="Times New Roman" w:hAnsi="Times New Roman"/>
          <w:b/>
          <w:color w:val="FF0000"/>
          <w:sz w:val="32"/>
          <w:szCs w:val="32"/>
        </w:rPr>
        <w:t>Пояснительная записка к учебному плану МКДОУ № 21 «Золотая рыбка» Инского сельского поселения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Учебный план </w:t>
      </w:r>
      <w:r w:rsidRPr="008836F5">
        <w:rPr>
          <w:rFonts w:ascii="Times New Roman" w:hAnsi="Times New Roman"/>
          <w:b/>
          <w:sz w:val="28"/>
          <w:szCs w:val="28"/>
        </w:rPr>
        <w:t>МКДОУ № 21 «Золотая рыбка» Инского сельского поселения</w:t>
      </w:r>
      <w:r w:rsidRPr="00D27FEC">
        <w:rPr>
          <w:rFonts w:ascii="Times New Roman" w:hAnsi="Times New Roman"/>
          <w:sz w:val="28"/>
          <w:szCs w:val="28"/>
        </w:rPr>
        <w:t xml:space="preserve"> является нормативным документом, регламентирующим организацию образовательного процесса в образовательном учреждении с учетом специфики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ДОУ, учебно-методического, кадрового и материально технического оснащения.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Нормативной базой для составления учебного плана являются документы:</w:t>
      </w:r>
    </w:p>
    <w:p w:rsidR="008836F5" w:rsidRPr="00D27FEC" w:rsidRDefault="008836F5" w:rsidP="008836F5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Закон Российской Федерации от 29.12.2012г. №273-ФЗ «Об образовании».</w:t>
      </w:r>
    </w:p>
    <w:p w:rsidR="008836F5" w:rsidRPr="00D27FEC" w:rsidRDefault="008836F5" w:rsidP="008836F5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Федеральные государственные требования к структуре основной общеобразовательной программы дошкольного образования (приказ Министерства образования и науки Российской Федерации № 655 от 23 ноября 2009 года).</w:t>
      </w:r>
    </w:p>
    <w:p w:rsidR="008836F5" w:rsidRPr="00D27FEC" w:rsidRDefault="008836F5" w:rsidP="008836F5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Приказ №1155 «Об утверждении ФГОС» от 17.10.2013г.</w:t>
      </w:r>
    </w:p>
    <w:p w:rsidR="008836F5" w:rsidRPr="00D27FEC" w:rsidRDefault="008836F5" w:rsidP="008836F5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Санитарно-эпидемиологические правила и нормативы СанПиН  2.4.1.3049-13  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 30.07.2013г. № 26).</w:t>
      </w:r>
    </w:p>
    <w:p w:rsidR="008836F5" w:rsidRPr="00D27FEC" w:rsidRDefault="008836F5" w:rsidP="008836F5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Инструктивно-методическое письмо </w:t>
      </w:r>
      <w:proofErr w:type="spellStart"/>
      <w:r w:rsidRPr="00D27FEC">
        <w:rPr>
          <w:rFonts w:ascii="Times New Roman" w:hAnsi="Times New Roman"/>
          <w:sz w:val="28"/>
          <w:szCs w:val="28"/>
        </w:rPr>
        <w:t>МОиПО</w:t>
      </w:r>
      <w:proofErr w:type="spellEnd"/>
      <w:r w:rsidRPr="00D27FEC">
        <w:rPr>
          <w:rFonts w:ascii="Times New Roman" w:hAnsi="Times New Roman"/>
          <w:sz w:val="28"/>
          <w:szCs w:val="28"/>
        </w:rPr>
        <w:t xml:space="preserve"> РФ «О гигиенических требованиях к максимальной нагрузке на детей дошкольного возраста в организованных формах обучения» от 14.03.2000 г. №65/23-16</w:t>
      </w:r>
    </w:p>
    <w:p w:rsidR="008836F5" w:rsidRPr="00D27FEC" w:rsidRDefault="008836F5" w:rsidP="008836F5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«Радуга» под редакцией Т.Н. </w:t>
      </w:r>
      <w:proofErr w:type="spellStart"/>
      <w:r w:rsidRPr="00D27FEC">
        <w:rPr>
          <w:rFonts w:ascii="Times New Roman" w:hAnsi="Times New Roman"/>
          <w:sz w:val="28"/>
          <w:szCs w:val="28"/>
        </w:rPr>
        <w:t>Дороновой</w:t>
      </w:r>
      <w:proofErr w:type="spellEnd"/>
      <w:r w:rsidRPr="00D27FEC">
        <w:rPr>
          <w:rFonts w:ascii="Times New Roman" w:hAnsi="Times New Roman"/>
          <w:sz w:val="28"/>
          <w:szCs w:val="28"/>
        </w:rPr>
        <w:t>.</w:t>
      </w:r>
    </w:p>
    <w:p w:rsidR="008836F5" w:rsidRPr="00D27FEC" w:rsidRDefault="008836F5" w:rsidP="008836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Устав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ДОУ.</w:t>
      </w:r>
    </w:p>
    <w:p w:rsidR="008836F5" w:rsidRPr="00D27FEC" w:rsidRDefault="008836F5" w:rsidP="008836F5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образования.</w:t>
      </w:r>
    </w:p>
    <w:p w:rsidR="008836F5" w:rsidRDefault="008836F5" w:rsidP="008836F5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8836F5" w:rsidRPr="00D27FEC" w:rsidRDefault="008836F5" w:rsidP="008836F5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27FEC">
        <w:rPr>
          <w:rFonts w:ascii="Times New Roman" w:hAnsi="Times New Roman"/>
          <w:b/>
          <w:sz w:val="28"/>
          <w:szCs w:val="28"/>
        </w:rPr>
        <w:t>Основными задачами учебного плана являются:</w:t>
      </w:r>
    </w:p>
    <w:p w:rsidR="008836F5" w:rsidRPr="00D27FEC" w:rsidRDefault="008836F5" w:rsidP="008836F5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lastRenderedPageBreak/>
        <w:t>Регулирование объема образовательной нагрузки.</w:t>
      </w:r>
    </w:p>
    <w:p w:rsidR="008836F5" w:rsidRPr="00D27FEC" w:rsidRDefault="008836F5" w:rsidP="008836F5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Реализация федеральных государственных требований к содержанию и организации образовательного процесса в ДОУ.</w:t>
      </w:r>
    </w:p>
    <w:p w:rsidR="008836F5" w:rsidRPr="00D27FEC" w:rsidRDefault="008836F5" w:rsidP="008836F5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Введение национально-регионального компонента и институционального компонента – компонента ДОУ.</w:t>
      </w:r>
    </w:p>
    <w:p w:rsidR="008836F5" w:rsidRPr="00D27FEC" w:rsidRDefault="008836F5" w:rsidP="008836F5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Обеспечение углубленной работы по приоритетному направлению деятельности ДОУ.</w:t>
      </w:r>
    </w:p>
    <w:p w:rsidR="008836F5" w:rsidRPr="00D27FEC" w:rsidRDefault="008836F5" w:rsidP="008836F5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Обеспечение единства всех компонентов (федерального, регионального и институционального).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В соответствии с Законом РФ «Об образовании» (ст. 28, 29, 32) в структуре учебного плана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 выделены две части: инвариантная и вариативная. Инвариантная часть реализует обязательную часть основной общеобразовательной программы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ДОУ. Вариативная часть учитывает условия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ДОУ, интересы и особенности воспитанников, запросы родителей. 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социально-личностное, познавательно-речевое, художественно-эстетическое развитие детей.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Содержание </w:t>
      </w:r>
      <w:proofErr w:type="spellStart"/>
      <w:r w:rsidRPr="00D27FE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27FEC">
        <w:rPr>
          <w:rFonts w:ascii="Times New Roman" w:hAnsi="Times New Roman"/>
          <w:sz w:val="28"/>
          <w:szCs w:val="28"/>
        </w:rPr>
        <w:t xml:space="preserve">-образовательного процесса включает совокупность образовательных областей: </w:t>
      </w:r>
      <w:proofErr w:type="gramStart"/>
      <w:r w:rsidRPr="00D27FEC">
        <w:rPr>
          <w:rFonts w:ascii="Times New Roman" w:hAnsi="Times New Roman"/>
          <w:sz w:val="28"/>
          <w:szCs w:val="28"/>
        </w:rPr>
        <w:t>«Физическая культура», 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«Музыка», которые обеспечивают разностороннее развитие детей с учетом их возрастных и индивидуальных особенностей.</w:t>
      </w:r>
      <w:proofErr w:type="gramEnd"/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Учебный план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 составлен в соответствии с основной общеобразовательной программой М</w:t>
      </w:r>
      <w:r>
        <w:rPr>
          <w:rFonts w:ascii="Times New Roman" w:hAnsi="Times New Roman"/>
          <w:sz w:val="28"/>
          <w:szCs w:val="28"/>
        </w:rPr>
        <w:t>К</w:t>
      </w:r>
      <w:r w:rsidRPr="00D27FEC">
        <w:rPr>
          <w:rFonts w:ascii="Times New Roman" w:hAnsi="Times New Roman"/>
          <w:sz w:val="28"/>
          <w:szCs w:val="28"/>
        </w:rPr>
        <w:t>ДОУ и включает в себя следующие программы:</w:t>
      </w:r>
    </w:p>
    <w:p w:rsidR="008836F5" w:rsidRPr="00D27FEC" w:rsidRDefault="008836F5" w:rsidP="008836F5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«Радуга: Комплексная программа воспитания, образования и развития детей дошкольного возраста в условия детского сада» Т.Н. </w:t>
      </w:r>
      <w:proofErr w:type="spellStart"/>
      <w:r w:rsidRPr="00D27FEC">
        <w:rPr>
          <w:rFonts w:ascii="Times New Roman" w:hAnsi="Times New Roman"/>
          <w:sz w:val="28"/>
          <w:szCs w:val="28"/>
        </w:rPr>
        <w:t>Дороновой</w:t>
      </w:r>
      <w:proofErr w:type="spellEnd"/>
      <w:r w:rsidRPr="00D27FEC">
        <w:rPr>
          <w:rFonts w:ascii="Times New Roman" w:hAnsi="Times New Roman"/>
          <w:sz w:val="28"/>
          <w:szCs w:val="28"/>
        </w:rPr>
        <w:t>.</w:t>
      </w:r>
    </w:p>
    <w:p w:rsidR="008836F5" w:rsidRPr="00D27FEC" w:rsidRDefault="008836F5" w:rsidP="008836F5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lastRenderedPageBreak/>
        <w:t>Парциальные программы, дополняющие содержание образовательной деятельности и рекомендованные авторами комплексных программ.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27FEC">
        <w:rPr>
          <w:rFonts w:ascii="Times New Roman" w:hAnsi="Times New Roman"/>
          <w:b/>
          <w:sz w:val="28"/>
          <w:szCs w:val="28"/>
        </w:rPr>
        <w:t>В учебном плане выделяются:</w:t>
      </w:r>
    </w:p>
    <w:p w:rsidR="008836F5" w:rsidRPr="00D27FEC" w:rsidRDefault="008836F5" w:rsidP="008836F5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основная обязательная образовательная деятельность, обеспечивающая усвоение государственных образовательных стандартов;</w:t>
      </w:r>
    </w:p>
    <w:p w:rsidR="008836F5" w:rsidRPr="00D27FEC" w:rsidRDefault="008836F5" w:rsidP="008836F5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дополнительные совместные мероприятия педагога с детьми, позволяющие более полно реализовать вариативное обучение и усилить дошкольный компонент.</w:t>
      </w:r>
    </w:p>
    <w:p w:rsidR="008836F5" w:rsidRPr="00D27FEC" w:rsidRDefault="008836F5" w:rsidP="008836F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7FEC">
        <w:rPr>
          <w:rFonts w:ascii="Times New Roman" w:hAnsi="Times New Roman"/>
          <w:sz w:val="28"/>
          <w:szCs w:val="28"/>
        </w:rPr>
        <w:t>Различные формы работы с детьми организуются утром и во вторую половину дня (как по инвариантной, так и по вариативной частям учебного плана).</w:t>
      </w:r>
      <w:proofErr w:type="gramEnd"/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В первой половине дня непосредственно образовательная деятельность планируется не более двух раз, для детей старшего дошкольного возраста – не более трех.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В группах детей старшего дошкольного возраста образовательная деятельность во второй половине дня планируется не чаще 2-3 раз в неделю, преимущественно художественно-продуктивного или двигательного характера. Перерывы составляют не менее 10 минут.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В середине непосредственно образовательной деятельности проводится физкультминутка, включающая упражнения на профилактику зрения, общей и мелкой моторики, снятие мышечной усталости (продолжительность 2-3 минуты).</w:t>
      </w:r>
    </w:p>
    <w:p w:rsidR="008836F5" w:rsidRPr="00D27FEC" w:rsidRDefault="008836F5" w:rsidP="008836F5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>В разновозрастной группе продолжительность учебных занятий  дифференцируется в зависимости от возраста ребенка. С целью соблюдения возрастных регламентов продолжительности занятий  начинают со старшими детьми, постепенно подключая к занятию детей младшего возраста.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lastRenderedPageBreak/>
        <w:t>Количество компонентов непосредственно образовательной деятельности и их продолжительность, время проведения соответствуют требованиям СанПиН 2.4.1.3049-13. Непосредственно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 (вторник, среда). Для профилактики утомления непосредственно образовательная деятельность познавательной направленности чередуются непосредственно образовательной деятельностью художественно-эстетического направления.</w:t>
      </w:r>
    </w:p>
    <w:p w:rsidR="008836F5" w:rsidRPr="00D27FEC" w:rsidRDefault="008836F5" w:rsidP="008836F5">
      <w:pPr>
        <w:spacing w:line="360" w:lineRule="auto"/>
        <w:rPr>
          <w:rFonts w:ascii="Times New Roman" w:hAnsi="Times New Roman"/>
          <w:sz w:val="28"/>
          <w:szCs w:val="28"/>
        </w:rPr>
      </w:pPr>
      <w:r w:rsidRPr="00D27FEC"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 w:rsidRPr="00D27FE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27FEC">
        <w:rPr>
          <w:rFonts w:ascii="Times New Roman" w:hAnsi="Times New Roman"/>
          <w:sz w:val="28"/>
          <w:szCs w:val="28"/>
        </w:rPr>
        <w:t xml:space="preserve">-образовательного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</w:t>
      </w:r>
      <w:proofErr w:type="gramStart"/>
      <w:r w:rsidRPr="00D27FEC">
        <w:rPr>
          <w:rFonts w:ascii="Times New Roman" w:hAnsi="Times New Roman"/>
          <w:sz w:val="28"/>
          <w:szCs w:val="28"/>
        </w:rPr>
        <w:t>Это способствует тому, что основные задачи содержания дошкольного образования каждой образовательной области («Физическая культура», «Здоровье», «Безопасность», «Труд», «Познание», «Коммуникация», «Социализация», «Чтение художественной литературы», «Художественное творчество», «Музыка») решаются и в ходе реализации других областей Программы.</w:t>
      </w:r>
      <w:proofErr w:type="gramEnd"/>
    </w:p>
    <w:p w:rsidR="008836F5" w:rsidRDefault="008836F5" w:rsidP="008836F5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bookmarkEnd w:id="0"/>
    <w:p w:rsidR="00BD1FC1" w:rsidRDefault="00BD1FC1"/>
    <w:sectPr w:rsidR="00BD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34"/>
    <w:rsid w:val="001626C0"/>
    <w:rsid w:val="003B3734"/>
    <w:rsid w:val="008836F5"/>
    <w:rsid w:val="00B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F5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36F5"/>
    <w:pPr>
      <w:ind w:left="720"/>
    </w:pPr>
  </w:style>
  <w:style w:type="paragraph" w:customStyle="1" w:styleId="ConsNormal">
    <w:name w:val="ConsNormal"/>
    <w:rsid w:val="008836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Calibri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F5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36F5"/>
    <w:pPr>
      <w:ind w:left="720"/>
    </w:pPr>
  </w:style>
  <w:style w:type="paragraph" w:customStyle="1" w:styleId="ConsNormal">
    <w:name w:val="ConsNormal"/>
    <w:rsid w:val="008836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886</Words>
  <Characters>5054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3</cp:revision>
  <dcterms:created xsi:type="dcterms:W3CDTF">2020-06-07T08:56:00Z</dcterms:created>
  <dcterms:modified xsi:type="dcterms:W3CDTF">2020-06-07T09:15:00Z</dcterms:modified>
</cp:coreProperties>
</file>